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C" w:rsidRDefault="000A6AEC" w:rsidP="005F091D">
      <w:pPr>
        <w:pStyle w:val="TEXT"/>
        <w:rPr>
          <w:rStyle w:val="SubtleReference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right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Образац 12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Назив јавног предузећа/друштва капитала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Јавно предузеће ЕЛГАС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ИЗВЕШТАЈ О СТЕПЕНУ УСКЛАЂЕНОСТИ ПЛАНИРАНИХ И РЕАЛИЗОВАНИХ АКТИВНОСТИ ИЗ ПРОГРАМА ПОСЛОВАЊА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 период од 01.01.2016.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</w:t>
      </w:r>
      <w:proofErr w:type="gramEnd"/>
      <w:r w:rsidR="00DC285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 w:rsidR="007E6121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31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r w:rsidR="007E6121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12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2016.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Место,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датум :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Сента, 25.</w:t>
      </w:r>
      <w:r w:rsidR="007E6121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01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201</w:t>
      </w:r>
      <w:r w:rsidR="007E6121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  <w:sectPr w:rsidR="00D011F7" w:rsidSect="006221C0">
          <w:headerReference w:type="even" r:id="rId9"/>
          <w:headerReference w:type="default" r:id="rId10"/>
          <w:type w:val="continuous"/>
          <w:pgSz w:w="11909" w:h="16834" w:code="9"/>
          <w:pgMar w:top="576" w:right="720" w:bottom="432" w:left="1440" w:header="0" w:footer="576" w:gutter="0"/>
          <w:cols w:space="720"/>
          <w:noEndnote/>
          <w:titlePg/>
          <w:docGrid w:linePitch="299"/>
        </w:sect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center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 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ОСНОВНИ СТАТУСНИ ПОДАЦИ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Пословно име: Јавно предузеће Елгас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Седиште: Сента,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Миксат</w:t>
      </w: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 xml:space="preserve"> Калмана 37.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Претежна делатност: дистрибуција гасовитих горива гасоводом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Матични број: 08025886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ПИБ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:101099930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en-GB"/>
        </w:rPr>
        <w:t>Надлежно министарство: Министарство привреде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Делатности јавног предузећа/друштва капитала су: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(описати делатности за које је јавно предузеће/друштво капитала регистровано)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Претежна делатност: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35.22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Дистрибуција гасов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тих горива гасоводом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Остале делатности: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одржавање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система природног гаса на територији насеља Сента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јавно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снабдевање природним гасом на територији насеља Сента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дистрибуција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топлотне енергије топловодном мрежом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остале делатности: израда уличних гасовода, израда унутрашње гасне инсталације, израда и монтажа грађевинске браварије, израда и одржавање водоводних мрежа, водоинсталација, канализационих мрежа и инсталација, топловодне мреже и инсталација, електричних мрежа и инсталација, израда и одржавање јавне расвете, релејне аутоматике, светлосне сигнализације, путне сигнализације, поправка електро уређаја алата, домаћинских апарата.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Годишњи/трогодишњи програм пословања: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(навести датум усвајања програма пословања и број службеног гласника, уколико постоји програм о изменама и допунама годишњег/трогодишњег програма навести датум усвајања и број службеног гласника)</w:t>
      </w:r>
    </w:p>
    <w:p w:rsidR="00D011F7" w:rsidRPr="00A91BE1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Годишњи програм пословања је усвојен дана 30.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12. 2015.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Закључком Скупштине Општине Сента под бројем 023-8/2015-1 (Службени лист Општине 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Сента </w:t>
      </w:r>
      <w:r w:rsidRPr="00612B1E">
        <w:rPr>
          <w:rFonts w:ascii="Times New Roman" w:hAnsi="Times New Roman"/>
          <w:color w:val="000000" w:themeColor="text1"/>
          <w:sz w:val="24"/>
          <w:szCs w:val="24"/>
        </w:rPr>
        <w:t>бр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30 )</w:t>
      </w:r>
      <w:proofErr w:type="gramEnd"/>
      <w:r w:rsidR="00A91BE1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 а измене и допуна Програма пословања са ребеленсом финансијског плана дана 17.11.2016. Закључком СО Сента под бројем 023/12-2016-</w:t>
      </w:r>
      <w:r w:rsidR="00A91BE1">
        <w:rPr>
          <w:rFonts w:ascii="Times New Roman CYR" w:hAnsi="Times New Roman CYR" w:cs="Times New Roman CYR"/>
          <w:color w:val="00000A"/>
          <w:sz w:val="24"/>
          <w:szCs w:val="24"/>
          <w:lang w:val="sr-Latn-RS"/>
        </w:rPr>
        <w:t>I</w:t>
      </w:r>
      <w:r w:rsidR="00A91BE1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(Сл лист Општине Сента бр. 26).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II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ОБРАЗЛОЖЕЊЕ ПОСЛОВАЊА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Описати пословање (реализацију основне делатности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)у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наведеном периоду.</w:t>
      </w:r>
    </w:p>
    <w:p w:rsidR="00A67403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Предузеће у протеклом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периоду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пословало у врло сложеним условима.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Што се тиче дистрибуције топлотне енергије, велика количина губитака у мрежи и даље је присутна са тенденцијом раста.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Топлотну енергију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смо куповали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од Фабри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кe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 ТЕ-ТО Сента по цени од 6.62 дин/kWh и прода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вали смо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по цени од 6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,62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дин./kWh- за енергент, и 89,99 дин/m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/год.-фиксни део. Фиксни део обезбеђује месечни приход од 1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,5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милион динара. </w:t>
      </w:r>
      <w:r w:rsidR="00A6740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У четвртом кварталу, с обзиром да у Ф.Ш. ТЕ-ТО није била прерада шећерне репе изнамњивањем котла, сами смо произвели топлотну енергију уз ангажовање стручних људи (уговор о делу) из Шећеране.</w:t>
      </w:r>
    </w:p>
    <w:p w:rsidR="00D011F7" w:rsidRPr="00A67403" w:rsidRDefault="00A67403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lastRenderedPageBreak/>
        <w:t xml:space="preserve"> </w:t>
      </w:r>
      <w:proofErr w:type="gramStart"/>
      <w:r w:rsidR="00D011F7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Послови дистрибуције топлотне енергије поверени су нам Одлуком о изменама одлуке о комуналним делатностима (Сл. лист Општине Сента 13/2013)</w:t>
      </w: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 а послови производње топлотне енергије одлуком о изменама и допунама Одлуке о комуналним делатностима (</w:t>
      </w:r>
      <w:r w:rsidRPr="00A6740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Сл. лист Општине Сента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21/2016), и одлуком о изменема и допунама одлуке о оснивању ЈП ЕЛГАС (</w:t>
      </w:r>
      <w:r w:rsidRPr="00A6740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Сл. лист Општине Сента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24/2016).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За </w:t>
      </w:r>
      <w:r w:rsidR="00A6740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ову годину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планирана је набавка: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 xml:space="preserve">                </w:t>
      </w:r>
      <w:r w:rsidR="00A6740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1.780.086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енергија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</w:r>
      <w:r w:rsidR="00A6740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 25.900.000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kWh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Од стране добављача фактурисано је: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</w:r>
      <w:r w:rsidR="00CB10AD" w:rsidRPr="00CB10AD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              </w:t>
      </w:r>
      <w:r w:rsidR="0049215C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1.786.499</w:t>
      </w:r>
      <w:r w:rsidR="00CB10AD" w:rsidRPr="00CB10AD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 w:rsidR="0049215C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gramEnd"/>
      <w:r w:rsidR="0049215C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енергија </w:t>
      </w:r>
      <w:r w:rsidR="0049215C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   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12.384.800 kWh</w:t>
      </w:r>
      <w:r w:rsidR="0049215C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(фактурисано од стране ФШ ТЕ-ТО до 30.04.2016.)</w:t>
      </w:r>
    </w:p>
    <w:p w:rsidR="0049215C" w:rsidRPr="0049215C" w:rsidRDefault="0049215C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 </w:t>
      </w:r>
      <w:r w:rsidRPr="0049215C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- топлотна енергија        </w:t>
      </w:r>
      <w:r w:rsidRPr="0049215C">
        <w:rPr>
          <w:rFonts w:ascii="Times New Roman CYR" w:hAnsi="Times New Roman CYR" w:cs="Times New Roman CYR"/>
          <w:color w:val="00000A"/>
          <w:sz w:val="24"/>
          <w:szCs w:val="24"/>
          <w:u w:val="single"/>
          <w:lang w:val="sr-Cyrl-RS"/>
        </w:rPr>
        <w:t>8.796.800 kWh</w:t>
      </w: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(очитано код ограде ФШ ТЕ-ТО период окт. –дец.16)</w:t>
      </w:r>
    </w:p>
    <w:p w:rsidR="00D011F7" w:rsidRPr="0049215C" w:rsidRDefault="0049215C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" w:hAnsi="Times New Roman"/>
          <w:lang w:val="sr-Cyrl-RS"/>
        </w:rPr>
      </w:pPr>
      <w:r w:rsidRPr="0049215C">
        <w:rPr>
          <w:rFonts w:ascii="Times New Roman" w:hAnsi="Times New Roman"/>
          <w:sz w:val="24"/>
          <w:szCs w:val="24"/>
          <w:lang w:val="sr-Cyrl-RS"/>
        </w:rPr>
        <w:t>Укупно топ. енергија</w:t>
      </w:r>
      <w:r w:rsidRPr="0049215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    </w:t>
      </w:r>
      <w:r w:rsidRPr="0049215C">
        <w:rPr>
          <w:rFonts w:ascii="Times New Roman" w:hAnsi="Times New Roman"/>
          <w:sz w:val="24"/>
          <w:szCs w:val="24"/>
          <w:lang w:val="sr-Cyrl-RS"/>
        </w:rPr>
        <w:t>21.181.600</w:t>
      </w:r>
      <w:r w:rsidRPr="0049215C">
        <w:rPr>
          <w:sz w:val="24"/>
          <w:szCs w:val="24"/>
        </w:rPr>
        <w:t xml:space="preserve"> </w:t>
      </w:r>
      <w:r w:rsidRPr="0049215C">
        <w:rPr>
          <w:rFonts w:ascii="Times New Roman" w:hAnsi="Times New Roman"/>
          <w:sz w:val="24"/>
          <w:szCs w:val="24"/>
          <w:lang w:val="sr-Cyrl-RS"/>
        </w:rPr>
        <w:t>kWh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Нашим купцима смо фактурисали: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природни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  <w:t xml:space="preserve">               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1.</w:t>
      </w:r>
      <w:r w:rsidR="00C964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795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C964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399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>3</w:t>
      </w:r>
    </w:p>
    <w:p w:rsidR="00D011F7" w:rsidRDefault="00D011F7" w:rsidP="00D011F7">
      <w:pPr>
        <w:autoSpaceDE w:val="0"/>
        <w:autoSpaceDN w:val="0"/>
        <w:adjustRightInd w:val="0"/>
        <w:spacing w:after="160" w:line="240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топлотна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енергија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ab/>
      </w:r>
      <w:r w:rsidR="00C964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15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C964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051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C964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288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kWh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1.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БИЛАНС УСПЕХА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биланс успеха по свим билансним позицијама и детаљно образложити струкутру реализованих прихода и расхода и оствареног нето резултата.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 приходи су заначајно мањи у односу на планиране.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 је прављен на бази остварења у претходним годинама.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 2015.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дистрибуирано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је 1</w:t>
      </w:r>
      <w:r w:rsidR="001F6BC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8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1F6BC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424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1F6BC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52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0 kWh топлотне енергије и </w:t>
      </w:r>
      <w:r w:rsidR="001F6BC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1.509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1F6BC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414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Sm</w:t>
      </w:r>
      <w:r>
        <w:rPr>
          <w:rFonts w:ascii="Times New Roman CYR" w:hAnsi="Times New Roman CYR" w:cs="Times New Roman CYR"/>
          <w:color w:val="00000A"/>
          <w:sz w:val="24"/>
          <w:szCs w:val="24"/>
          <w:vertAlign w:val="superscript"/>
          <w:lang w:val="en-GB"/>
        </w:rPr>
        <w:t xml:space="preserve">3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природног гаса.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Пословни расходи нису се смањили сразмерно са пословним приходима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С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обзиром да је 17.07.2015.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ступила на снагу Уредба о утврђивању Методологије за одређивање цене снабдевања крајњег купца топлотном енергијом и Фабри</w:t>
      </w:r>
      <w:r w:rsidRPr="005A245D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кa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ТЕ-ТО за грејну сезону 2015/2016 више није признала половину губитака у топлотној мрежи, што је био случај у предходне две грејне сезоне.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Код осталих позиција и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ражених у динарима, нема значајних одступања у односу на план.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Предузеће има велики губитак у пословању </w:t>
      </w:r>
      <w:r w:rsidR="004F6888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23.072.736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динара</w:t>
      </w:r>
      <w:r w:rsidR="00CB10AD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првенствено због истоветности набавне и продајне цене топлотне енергије</w:t>
      </w:r>
      <w:r w:rsidR="0028216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 у првом полугодишту, а ни касније нису одобрене цене топлотне енергије примењивањем Методологије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дотрајалости топловодне мреже, што проузрокује великих губитака топлотне енергије у мрежи.</w:t>
      </w:r>
      <w:r w:rsidR="0028216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</w:t>
      </w:r>
    </w:p>
    <w:p w:rsidR="0028216B" w:rsidRPr="0028216B" w:rsidRDefault="0028216B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Приликом утврђивања резултата нису узети у обзир потраживања која су старија од 60 дана.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2.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БИЛАНС СТАЊА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биланс стања по свим билансним позицијама.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 билансу стања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већа одступања у односу на план су на следећим позицијма:</w:t>
      </w:r>
    </w:p>
    <w:p w:rsidR="00742A1C" w:rsidRDefault="00742A1C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- друга потраживања ( група конта 22)</w:t>
      </w:r>
    </w:p>
    <w:p w:rsidR="00742A1C" w:rsidRPr="00742A1C" w:rsidRDefault="00742A1C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lastRenderedPageBreak/>
        <w:t xml:space="preserve">- по уговору о испоруци електричне енергије са Електропривредом Србије за потрошачко место ФШ ТЕ-ТО исплаћен је депозит у износу 2.119.758,04 дин </w:t>
      </w:r>
    </w:p>
    <w:p w:rsidR="00D011F7" w:rsidRPr="00612B1E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</w:pPr>
      <w:r w:rsidRPr="00612B1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- </w:t>
      </w:r>
      <w:proofErr w:type="gramStart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потраживања</w:t>
      </w:r>
      <w:proofErr w:type="gramEnd"/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по основу продаје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Смањени обим пословних прихода у односу на планирани имају директан утицај на ову позицију.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готовински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еквиваленти</w:t>
      </w:r>
    </w:p>
    <w:p w:rsidR="002850DA" w:rsidRPr="002850DA" w:rsidRDefault="002850DA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У периоду од 28-31.12. дужници су са већом динамиком измиривали своје обавезе од уобичајеног, а новчана средства смо држали ради лакшег севисирања дуга за утрошени гас у месецу децембру.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добављачи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земљи</w:t>
      </w:r>
    </w:p>
    <w:p w:rsidR="00D011F7" w:rsidRPr="00A01016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Планирано је било да ће половину губитака топлотне енергије у топловодној мрежи сноси Фабри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ећера ТЕ-ТО (одобрити), до тога није дошло, зато је дошло до битног повећања обавезе према добављачима, на дан 3</w:t>
      </w:r>
      <w:r w:rsidR="00FE004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E004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Фабри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ци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ТЕ-ТО-у дугујемо 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</w:t>
      </w:r>
      <w:r w:rsidR="00FE004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E004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733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E004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340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2A4139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97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 не рачунајућ</w:t>
      </w:r>
      <w:r w:rsidR="00A01016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 префактурисани део капацитета</w:t>
      </w:r>
      <w:r w:rsidR="00A01016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 Србијагасу 39.028.680,18 дин, а према Електропривреди Сребије 7.963.936,58 дин.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3.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ИЗВЕШТАЈ О ТОКОВИМА ГОТОВИНЕ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извештај о токовима готовине по свим позицијама.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-</w:t>
      </w: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смањени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обим пословних прихода у односу на планирани, имају директан утицај на прилив и одлив готовине из пословних активности.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4.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ТРОШКОВИ ЗАПОСЛЕНИХ</w:t>
      </w:r>
    </w:p>
    <w:p w:rsidR="00D011F7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Образложити табелу Трошкови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запослених  по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свим позицијама.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Pr="000062F7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трошкови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запослених су реализовани у оквиру планираних, </w:t>
      </w:r>
      <w:r w:rsidR="000062F7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накнада члановима Надзорног одбора зависи од броја одржаних седница и присуства чланова.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5.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ДИНАМИКА ЗАПОСЛЕНИХ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уколико је било прилива и одлива запослених.)</w:t>
      </w:r>
      <w:proofErr w:type="gramEnd"/>
    </w:p>
    <w:p w:rsidR="00D011F7" w:rsidRPr="00847E70" w:rsidRDefault="00D011F7" w:rsidP="00847E70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У првом полугодишту повратком раднице са порођајног одсуства (фебруар), отишла је радница која је била ангажована на рад у благајни, тако да је крају периода предузеће има укупно 27 радника, 26 стално запослених и 1 особа на одређено време, односно колико је предвиђено Програмом пословања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6.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КРЕТАЊЕ ЦЕНА ПРОИЗВОДА И УСЛУГА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у случају промена цена производа и услуга.)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У </w:t>
      </w:r>
      <w:r w:rsidR="00F9694A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целом </w:t>
      </w:r>
      <w:proofErr w:type="gramStart"/>
      <w:r w:rsidR="00F9694A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периоду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цене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су се кретале у оквиру предвиђен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их цена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Програмом пословања.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sr-Cyrl-RS"/>
        </w:rPr>
      </w:pPr>
    </w:p>
    <w:p w:rsidR="00F224C5" w:rsidRPr="00F224C5" w:rsidRDefault="00F224C5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sr-Cyrl-RS"/>
        </w:rPr>
      </w:pPr>
    </w:p>
    <w:p w:rsidR="006F5741" w:rsidRDefault="006F5741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7.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СУБВЕНЦИЈЕ И ОСТАЛИ ПРИХОДИ ИЗ БУЏЕТА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пренета средства из буџета, посебно уколико реализована динамика одступа од планиране по програму пословања.)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 пословања није предвиђено никаква субвенција из буджета.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8.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СРЕДСТВА ЗА ПОСЕБНЕ НАМЕНЕ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Образложити табелу средства за посебне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намене  по</w:t>
      </w:r>
      <w:proofErr w:type="gramEnd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 xml:space="preserve"> свим позицијама. </w:t>
      </w:r>
      <w:proofErr w:type="gramStart"/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Детаљно образложити позиције које одступају од планираних програмом пословања.)</w:t>
      </w:r>
      <w:proofErr w:type="gramEnd"/>
    </w:p>
    <w:p w:rsidR="00D011F7" w:rsidRPr="006521C8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За репрезентацију утрошене су </w:t>
      </w:r>
      <w:r w:rsidR="00F2022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39 %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средстава у односу на планиране, за рекламу и пропаганду је утрошено 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8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,</w:t>
      </w:r>
      <w:r w:rsidR="00F2022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916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дин, односно </w:t>
      </w:r>
      <w:r w:rsidR="00F2022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F2022B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81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пута више од планираног, првенствено због јавног позивања </w:t>
      </w:r>
      <w:r w:rsidR="006521C8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дужника да измире своје обавезе</w:t>
      </w:r>
      <w:r w:rsidR="006521C8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 а за донацију половину планираних средстава.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9.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ИЗВЕШТАЈ О ИНВЕСТИЦИЈАМА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Образложити уколико су програмом пословања планиране инвестиције.)</w:t>
      </w:r>
      <w:proofErr w:type="gramEnd"/>
    </w:p>
    <w:p w:rsidR="00D011F7" w:rsidRPr="00F224C5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Програмом пословања за прво полугодиште је бил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предвиђен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куповина 2 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теретн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возила, од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тога  остварен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је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куповина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један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ог возила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куповина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једног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апарата за електрофузион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о заваривање што је и остварено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, а за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Latn-RS"/>
        </w:rPr>
        <w:t xml:space="preserve">III.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квартал </w:t>
      </w:r>
      <w:r w:rsidR="002F74F2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било </w:t>
      </w:r>
      <w:r w:rsidR="002F74F2" w:rsidRPr="002F74F2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је </w:t>
      </w:r>
      <w:r w:rsidR="002F74F2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планирано 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куповин</w:t>
      </w:r>
      <w:r w:rsidR="002F74F2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а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1 ком аутодизалица, набавка није реализована</w:t>
      </w:r>
      <w:r w:rsidR="002F74F2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у обрачунском периоду.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  <w:t xml:space="preserve">III 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  <w:lang w:val="en-GB"/>
        </w:rPr>
        <w:t>ЗАКЉУЧНА РАЗМАТРАЊА И НАПОМЕНЕ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i/>
          <w:iCs/>
          <w:color w:val="00000A"/>
          <w:sz w:val="24"/>
          <w:szCs w:val="24"/>
          <w:lang w:val="en-GB"/>
        </w:rPr>
        <w:t>(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  <w:lang w:val="en-GB"/>
        </w:rPr>
        <w:t>Навести најважнија запажања о пословању у посматраном периоду и посебно образложити планиране и предузете мере уколико је дошло до поремећаја у пословању јавног предузећа/друштва капитала.)</w:t>
      </w:r>
      <w:proofErr w:type="gramEnd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Предузеће је протекли период завршио са губитком од </w:t>
      </w:r>
      <w:r w:rsidR="00B20FEF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23.072.736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динара (</w:t>
      </w:r>
      <w:r w:rsidR="00B20FEF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по деветомесечном обрачуну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B20FEF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10.768.690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динара.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Рачуни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Фабрик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 xml:space="preserve">e </w:t>
      </w:r>
      <w:r w:rsidR="00575C8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Ш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ТЕ-ТО за топловодну енергију (81.987.376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,00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 без ПДВ) су већи него што смо могли фактурисати потрошачима (62.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290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284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</w:t>
      </w:r>
      <w:r w:rsidR="00F224C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99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 без ПДВ)</w:t>
      </w:r>
      <w:r w:rsidR="00575C8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, а произведених 8.796.800 </w:t>
      </w:r>
      <w:r w:rsidR="00575C83">
        <w:rPr>
          <w:rFonts w:ascii="Times New Roman CYR" w:hAnsi="Times New Roman CYR" w:cs="Times New Roman CYR"/>
          <w:color w:val="00000A"/>
          <w:sz w:val="24"/>
          <w:szCs w:val="24"/>
          <w:lang w:val="sr-Latn-RS"/>
        </w:rPr>
        <w:t>kWh</w:t>
      </w:r>
      <w:r w:rsidR="00575C83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 топлотне енергије у четвртом кварталу могли смо исфактурисати потрошачима само 6.419.098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575C83" w:rsidRPr="00575C83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kWh</w:t>
      </w:r>
      <w:r w:rsidR="00E03AFF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Пошто је главни узрок губитака у пословању дотрајала топлотна мрежа, заједно са власником мреже, ургентно треба наћи решење за санирање узрока огромних губ</w:t>
      </w:r>
      <w:r w:rsidR="00E03AFF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итака топлотне енергије у мрежи</w:t>
      </w:r>
      <w:r w:rsidR="00E03AFF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, и доследно примењивати Уредбу о утврђивању Методологије за одређивање цене снабдевања крајњег купца топлотном енергијом.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У будућем периоду треба разрешити и потраживање – који предтавља потенцијални ризик –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ТЕ-ТО у износу од 17.720.217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,36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без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ПДВ) за префактурисани део трошкова капацитета (гас) из 2015.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год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 (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решавање овога, потписан је Записник између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Фабри</w:t>
      </w:r>
      <w:r w:rsidR="00847E70" w:rsidRPr="00612B1E">
        <w:rPr>
          <w:rFonts w:ascii="Times New Roman CYR" w:hAnsi="Times New Roman CYR" w:cs="Times New Roman CYR"/>
          <w:color w:val="000000" w:themeColor="text1"/>
          <w:sz w:val="24"/>
          <w:szCs w:val="24"/>
          <w:lang w:val="en-GB"/>
        </w:rPr>
        <w:t>кe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ш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ећера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ТЕ-ТО, Општин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и 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>ЈП Е</w:t>
      </w:r>
      <w:r w:rsidR="00596C2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лгас</w:t>
      </w:r>
      <w:r w:rsidR="00847E70">
        <w:rPr>
          <w:rFonts w:ascii="Times New Roman CYR" w:hAnsi="Times New Roman CYR" w:cs="Times New Roman CYR"/>
          <w:color w:val="00000A"/>
          <w:sz w:val="24"/>
          <w:szCs w:val="24"/>
        </w:rPr>
        <w:t xml:space="preserve"> С</w:t>
      </w:r>
      <w:r w:rsidR="00596C25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ента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).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За наплату потраживања и досада су коришћена сва могућа легална средства (опомена, судски спорови, судски извршитељи, искључења потрошача гаса), додатним напорима треба постићи да наплаћеност наших потраживања буде што боља.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На дан 3</w:t>
      </w:r>
      <w:r w:rsidR="00681570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r w:rsidR="00681570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12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потрошачи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гаса дугују </w:t>
      </w:r>
      <w:r w:rsidR="00681570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19.556.613,17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дин., а корисници топлотне енергије </w:t>
      </w:r>
      <w:r w:rsidR="00681570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58.099.871,06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дин.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  <w:bookmarkStart w:id="0" w:name="_GoBack"/>
      <w:bookmarkEnd w:id="0"/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cs="Calibri"/>
          <w:lang w:val="en-GB"/>
        </w:rPr>
      </w:pPr>
    </w:p>
    <w:p w:rsidR="00D011F7" w:rsidRDefault="00D011F7" w:rsidP="00D011F7">
      <w:pPr>
        <w:autoSpaceDE w:val="0"/>
        <w:autoSpaceDN w:val="0"/>
        <w:adjustRightInd w:val="0"/>
        <w:spacing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Датум 25.</w:t>
      </w:r>
      <w:r w:rsidR="004224A1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01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.201</w:t>
      </w:r>
      <w:r w:rsidR="004224A1">
        <w:rPr>
          <w:rFonts w:ascii="Times New Roman CYR" w:hAnsi="Times New Roman CYR" w:cs="Times New Roman CYR"/>
          <w:color w:val="00000A"/>
          <w:sz w:val="24"/>
          <w:szCs w:val="24"/>
          <w:lang w:val="sr-Cyrl-RS"/>
        </w:rPr>
        <w:t>7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.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 xml:space="preserve">                                                                                        __________________</w:t>
      </w:r>
    </w:p>
    <w:p w:rsidR="00D011F7" w:rsidRDefault="00D011F7" w:rsidP="00D011F7">
      <w:pPr>
        <w:autoSpaceDE w:val="0"/>
        <w:autoSpaceDN w:val="0"/>
        <w:adjustRightInd w:val="0"/>
        <w:spacing w:after="160" w:line="252" w:lineRule="auto"/>
        <w:ind w:firstLine="0"/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</w:pP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="00847E70">
        <w:rPr>
          <w:rFonts w:ascii="Times New Roman" w:hAnsi="Times New Roman"/>
          <w:color w:val="00000A"/>
          <w:sz w:val="24"/>
          <w:szCs w:val="24"/>
        </w:rPr>
        <w:tab/>
      </w:r>
      <w:r w:rsidR="00847E70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  <w:lang w:val="en-GB"/>
        </w:rPr>
        <w:t xml:space="preserve">      </w:t>
      </w:r>
      <w:r>
        <w:rPr>
          <w:rFonts w:ascii="Times New Roman CYR" w:hAnsi="Times New Roman CYR" w:cs="Times New Roman CYR"/>
          <w:color w:val="00000A"/>
          <w:sz w:val="24"/>
          <w:szCs w:val="24"/>
          <w:lang w:val="en-GB"/>
        </w:rPr>
        <w:t>Потпис и печат</w:t>
      </w:r>
    </w:p>
    <w:sectPr w:rsidR="00D011F7" w:rsidSect="00D011F7">
      <w:pgSz w:w="11909" w:h="16834" w:code="9"/>
      <w:pgMar w:top="576" w:right="720" w:bottom="432" w:left="1440" w:header="0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EB" w:rsidRDefault="009F2BEB" w:rsidP="00E7013F">
      <w:pPr>
        <w:spacing w:line="240" w:lineRule="auto"/>
      </w:pPr>
      <w:r>
        <w:separator/>
      </w:r>
    </w:p>
  </w:endnote>
  <w:endnote w:type="continuationSeparator" w:id="0">
    <w:p w:rsidR="009F2BEB" w:rsidRDefault="009F2BEB" w:rsidP="00E70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EB" w:rsidRDefault="009F2BEB" w:rsidP="00E7013F">
      <w:pPr>
        <w:spacing w:line="240" w:lineRule="auto"/>
      </w:pPr>
      <w:r>
        <w:separator/>
      </w:r>
    </w:p>
  </w:footnote>
  <w:footnote w:type="continuationSeparator" w:id="0">
    <w:p w:rsidR="009F2BEB" w:rsidRDefault="009F2BEB" w:rsidP="00E70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46" w:rsidRDefault="009F2B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4" o:spid="_x0000_s2062" type="#_x0000_t136" style="position:absolute;left:0;text-align:left;margin-left:0;margin-top:0;width:411.75pt;height:143.2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  <w:r>
      <w:rPr>
        <w:noProof/>
      </w:rPr>
      <w:pict>
        <v:shape id="PowerPlusWaterMarkObject29020492" o:spid="_x0000_s2053" type="#_x0000_t136" style="position:absolute;left:0;text-align:left;margin-left:0;margin-top:0;width:308.25pt;height:108.75pt;rotation:315;z-index:-251663360;mso-position-horizontal:center;mso-position-horizontal-relative:margin;mso-position-vertical:center;mso-position-vertical-relative:margin" o:allowincell="f" fillcolor="#d8d8d8" stroked="f">
          <v:textpath style="font-family:&quot;Times New Roman&quot;;font-size:96pt" string="ELGAS"/>
          <w10:wrap anchorx="margin" anchory="margin"/>
        </v:shape>
      </w:pict>
    </w:r>
    <w:r>
      <w:rPr>
        <w:noProof/>
      </w:rPr>
      <w:pict>
        <v:shape id="PowerPlusWaterMarkObject5574150" o:spid="_x0000_s2050" type="#_x0000_t136" style="position:absolute;left:0;text-align:left;margin-left:0;margin-top:0;width:360.35pt;height:360.3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صل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21" w:rsidRDefault="009F2B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5" o:spid="_x0000_s2063" type="#_x0000_t136" style="position:absolute;left:0;text-align:left;margin-left:0;margin-top:0;width:411.75pt;height:143.2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70"/>
    <w:rsid w:val="000062F7"/>
    <w:rsid w:val="00010475"/>
    <w:rsid w:val="00023848"/>
    <w:rsid w:val="000258AF"/>
    <w:rsid w:val="000319C9"/>
    <w:rsid w:val="00033B1D"/>
    <w:rsid w:val="00036FC3"/>
    <w:rsid w:val="000402E8"/>
    <w:rsid w:val="000447C2"/>
    <w:rsid w:val="00044879"/>
    <w:rsid w:val="000465EB"/>
    <w:rsid w:val="00055F76"/>
    <w:rsid w:val="000579FF"/>
    <w:rsid w:val="00060552"/>
    <w:rsid w:val="00060F70"/>
    <w:rsid w:val="00061662"/>
    <w:rsid w:val="00062A52"/>
    <w:rsid w:val="000647AF"/>
    <w:rsid w:val="00084621"/>
    <w:rsid w:val="00090B2D"/>
    <w:rsid w:val="00092981"/>
    <w:rsid w:val="000A6AEC"/>
    <w:rsid w:val="000B5C75"/>
    <w:rsid w:val="000B5E0F"/>
    <w:rsid w:val="000F0223"/>
    <w:rsid w:val="000F3456"/>
    <w:rsid w:val="00101BDB"/>
    <w:rsid w:val="00106E30"/>
    <w:rsid w:val="00117BAB"/>
    <w:rsid w:val="00117E6E"/>
    <w:rsid w:val="00125E40"/>
    <w:rsid w:val="00137C45"/>
    <w:rsid w:val="00144D0D"/>
    <w:rsid w:val="00155387"/>
    <w:rsid w:val="00170D22"/>
    <w:rsid w:val="00180413"/>
    <w:rsid w:val="00186B41"/>
    <w:rsid w:val="001970E3"/>
    <w:rsid w:val="001A7935"/>
    <w:rsid w:val="001B14F0"/>
    <w:rsid w:val="001B2DF1"/>
    <w:rsid w:val="001B7002"/>
    <w:rsid w:val="001D5F85"/>
    <w:rsid w:val="001E04A8"/>
    <w:rsid w:val="001E068C"/>
    <w:rsid w:val="001E439B"/>
    <w:rsid w:val="001E46D7"/>
    <w:rsid w:val="001E683D"/>
    <w:rsid w:val="001F6BCB"/>
    <w:rsid w:val="00200C26"/>
    <w:rsid w:val="00202655"/>
    <w:rsid w:val="00202950"/>
    <w:rsid w:val="00204790"/>
    <w:rsid w:val="00204ADA"/>
    <w:rsid w:val="00205212"/>
    <w:rsid w:val="00210A65"/>
    <w:rsid w:val="002141F6"/>
    <w:rsid w:val="0022647C"/>
    <w:rsid w:val="00237FF2"/>
    <w:rsid w:val="00242883"/>
    <w:rsid w:val="00247AD8"/>
    <w:rsid w:val="002507F5"/>
    <w:rsid w:val="00253534"/>
    <w:rsid w:val="0026341D"/>
    <w:rsid w:val="0026488B"/>
    <w:rsid w:val="002728EE"/>
    <w:rsid w:val="00275903"/>
    <w:rsid w:val="0028216B"/>
    <w:rsid w:val="002850DA"/>
    <w:rsid w:val="00285BE7"/>
    <w:rsid w:val="0029553E"/>
    <w:rsid w:val="0029691B"/>
    <w:rsid w:val="002A05F9"/>
    <w:rsid w:val="002A3673"/>
    <w:rsid w:val="002A4139"/>
    <w:rsid w:val="002B1B69"/>
    <w:rsid w:val="002C46AE"/>
    <w:rsid w:val="002C6498"/>
    <w:rsid w:val="002C71D1"/>
    <w:rsid w:val="002E5430"/>
    <w:rsid w:val="002F64DE"/>
    <w:rsid w:val="002F7395"/>
    <w:rsid w:val="002F74F2"/>
    <w:rsid w:val="0030063A"/>
    <w:rsid w:val="003126E6"/>
    <w:rsid w:val="00316AC0"/>
    <w:rsid w:val="00326115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B46FC"/>
    <w:rsid w:val="003E5B42"/>
    <w:rsid w:val="003E5CE2"/>
    <w:rsid w:val="004078C5"/>
    <w:rsid w:val="0041748A"/>
    <w:rsid w:val="00420304"/>
    <w:rsid w:val="004224A1"/>
    <w:rsid w:val="0042799D"/>
    <w:rsid w:val="00432616"/>
    <w:rsid w:val="00433E24"/>
    <w:rsid w:val="00442D98"/>
    <w:rsid w:val="00445BC1"/>
    <w:rsid w:val="00450369"/>
    <w:rsid w:val="00452C64"/>
    <w:rsid w:val="00452F8D"/>
    <w:rsid w:val="00467D75"/>
    <w:rsid w:val="00482650"/>
    <w:rsid w:val="00483EE8"/>
    <w:rsid w:val="0049215C"/>
    <w:rsid w:val="00494CC2"/>
    <w:rsid w:val="004A0729"/>
    <w:rsid w:val="004A60DB"/>
    <w:rsid w:val="004B1183"/>
    <w:rsid w:val="004B7246"/>
    <w:rsid w:val="004C459D"/>
    <w:rsid w:val="004D596F"/>
    <w:rsid w:val="004F1289"/>
    <w:rsid w:val="004F13A7"/>
    <w:rsid w:val="004F53D1"/>
    <w:rsid w:val="004F6888"/>
    <w:rsid w:val="004F764E"/>
    <w:rsid w:val="005008D1"/>
    <w:rsid w:val="00504923"/>
    <w:rsid w:val="0050580A"/>
    <w:rsid w:val="00515DB9"/>
    <w:rsid w:val="005240BF"/>
    <w:rsid w:val="00535885"/>
    <w:rsid w:val="00545BA0"/>
    <w:rsid w:val="00550A13"/>
    <w:rsid w:val="00551AA4"/>
    <w:rsid w:val="00554B74"/>
    <w:rsid w:val="005635ED"/>
    <w:rsid w:val="005716EF"/>
    <w:rsid w:val="00571FF2"/>
    <w:rsid w:val="00575C83"/>
    <w:rsid w:val="0059166A"/>
    <w:rsid w:val="00591990"/>
    <w:rsid w:val="00596C25"/>
    <w:rsid w:val="005973E0"/>
    <w:rsid w:val="005A21BC"/>
    <w:rsid w:val="005A245D"/>
    <w:rsid w:val="005A3689"/>
    <w:rsid w:val="005B7A8E"/>
    <w:rsid w:val="005C0561"/>
    <w:rsid w:val="005C4F71"/>
    <w:rsid w:val="005C69CB"/>
    <w:rsid w:val="005D5217"/>
    <w:rsid w:val="005E3300"/>
    <w:rsid w:val="005F091D"/>
    <w:rsid w:val="005F3837"/>
    <w:rsid w:val="005F77C0"/>
    <w:rsid w:val="0061102D"/>
    <w:rsid w:val="00612B1E"/>
    <w:rsid w:val="006154B2"/>
    <w:rsid w:val="00616B41"/>
    <w:rsid w:val="006221C0"/>
    <w:rsid w:val="006276D7"/>
    <w:rsid w:val="00630F0F"/>
    <w:rsid w:val="00651DD6"/>
    <w:rsid w:val="006521C8"/>
    <w:rsid w:val="00657961"/>
    <w:rsid w:val="00667BCD"/>
    <w:rsid w:val="006709DA"/>
    <w:rsid w:val="00681570"/>
    <w:rsid w:val="00684978"/>
    <w:rsid w:val="006A49F9"/>
    <w:rsid w:val="006A4AF9"/>
    <w:rsid w:val="006B165F"/>
    <w:rsid w:val="006C1917"/>
    <w:rsid w:val="006D4171"/>
    <w:rsid w:val="006D51CF"/>
    <w:rsid w:val="006D7598"/>
    <w:rsid w:val="006E39AB"/>
    <w:rsid w:val="006F5741"/>
    <w:rsid w:val="00703091"/>
    <w:rsid w:val="00715B8D"/>
    <w:rsid w:val="00725B37"/>
    <w:rsid w:val="00734F59"/>
    <w:rsid w:val="00742A1C"/>
    <w:rsid w:val="007567EF"/>
    <w:rsid w:val="0077057A"/>
    <w:rsid w:val="007771EF"/>
    <w:rsid w:val="00784755"/>
    <w:rsid w:val="0078714E"/>
    <w:rsid w:val="00792231"/>
    <w:rsid w:val="00797242"/>
    <w:rsid w:val="007A4500"/>
    <w:rsid w:val="007E2B5C"/>
    <w:rsid w:val="007E37EE"/>
    <w:rsid w:val="007E6121"/>
    <w:rsid w:val="007F1F88"/>
    <w:rsid w:val="007F2806"/>
    <w:rsid w:val="007F3A61"/>
    <w:rsid w:val="007F5222"/>
    <w:rsid w:val="007F7BC9"/>
    <w:rsid w:val="0081126B"/>
    <w:rsid w:val="00811E00"/>
    <w:rsid w:val="00816882"/>
    <w:rsid w:val="008316DF"/>
    <w:rsid w:val="00840CCB"/>
    <w:rsid w:val="00847E70"/>
    <w:rsid w:val="0085298F"/>
    <w:rsid w:val="008550FA"/>
    <w:rsid w:val="008613D1"/>
    <w:rsid w:val="0086438F"/>
    <w:rsid w:val="00873214"/>
    <w:rsid w:val="008A1878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7A69"/>
    <w:rsid w:val="00914E04"/>
    <w:rsid w:val="00917AAC"/>
    <w:rsid w:val="00924276"/>
    <w:rsid w:val="0094078E"/>
    <w:rsid w:val="00953056"/>
    <w:rsid w:val="00976419"/>
    <w:rsid w:val="00977F1A"/>
    <w:rsid w:val="00981C6A"/>
    <w:rsid w:val="009848C9"/>
    <w:rsid w:val="009A19E8"/>
    <w:rsid w:val="009A4A25"/>
    <w:rsid w:val="009C3413"/>
    <w:rsid w:val="009C3D15"/>
    <w:rsid w:val="009C494C"/>
    <w:rsid w:val="009C5965"/>
    <w:rsid w:val="009F0EBF"/>
    <w:rsid w:val="009F2BEB"/>
    <w:rsid w:val="00A01016"/>
    <w:rsid w:val="00A02E55"/>
    <w:rsid w:val="00A049A1"/>
    <w:rsid w:val="00A0789C"/>
    <w:rsid w:val="00A34517"/>
    <w:rsid w:val="00A40B81"/>
    <w:rsid w:val="00A47FE3"/>
    <w:rsid w:val="00A67403"/>
    <w:rsid w:val="00A91BE1"/>
    <w:rsid w:val="00AA7338"/>
    <w:rsid w:val="00AC1058"/>
    <w:rsid w:val="00AC2CDB"/>
    <w:rsid w:val="00AC6697"/>
    <w:rsid w:val="00AC690F"/>
    <w:rsid w:val="00AC703D"/>
    <w:rsid w:val="00AE5496"/>
    <w:rsid w:val="00AF131E"/>
    <w:rsid w:val="00AF5962"/>
    <w:rsid w:val="00B10113"/>
    <w:rsid w:val="00B1176E"/>
    <w:rsid w:val="00B13C6F"/>
    <w:rsid w:val="00B20FEF"/>
    <w:rsid w:val="00B37B85"/>
    <w:rsid w:val="00B41D46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964AD"/>
    <w:rsid w:val="00CB10AD"/>
    <w:rsid w:val="00CB5236"/>
    <w:rsid w:val="00CC5587"/>
    <w:rsid w:val="00CC71A2"/>
    <w:rsid w:val="00CD3EBF"/>
    <w:rsid w:val="00CD4A98"/>
    <w:rsid w:val="00CE1F9A"/>
    <w:rsid w:val="00D011F7"/>
    <w:rsid w:val="00D04799"/>
    <w:rsid w:val="00D07552"/>
    <w:rsid w:val="00D108B2"/>
    <w:rsid w:val="00D11B85"/>
    <w:rsid w:val="00D15CC0"/>
    <w:rsid w:val="00D17657"/>
    <w:rsid w:val="00D22917"/>
    <w:rsid w:val="00D258CC"/>
    <w:rsid w:val="00D2624E"/>
    <w:rsid w:val="00D4642A"/>
    <w:rsid w:val="00D50588"/>
    <w:rsid w:val="00D61A65"/>
    <w:rsid w:val="00D6488A"/>
    <w:rsid w:val="00D75966"/>
    <w:rsid w:val="00D821BF"/>
    <w:rsid w:val="00D86090"/>
    <w:rsid w:val="00D8625F"/>
    <w:rsid w:val="00D92ABA"/>
    <w:rsid w:val="00DA6FB5"/>
    <w:rsid w:val="00DC19A7"/>
    <w:rsid w:val="00DC285A"/>
    <w:rsid w:val="00DD021A"/>
    <w:rsid w:val="00DE2F1F"/>
    <w:rsid w:val="00DF03C8"/>
    <w:rsid w:val="00DF061F"/>
    <w:rsid w:val="00DF682B"/>
    <w:rsid w:val="00E0131E"/>
    <w:rsid w:val="00E03AFF"/>
    <w:rsid w:val="00E072D2"/>
    <w:rsid w:val="00E212EE"/>
    <w:rsid w:val="00E36A52"/>
    <w:rsid w:val="00E62AF0"/>
    <w:rsid w:val="00E63FE9"/>
    <w:rsid w:val="00E7013F"/>
    <w:rsid w:val="00E72F5A"/>
    <w:rsid w:val="00E8686B"/>
    <w:rsid w:val="00E92489"/>
    <w:rsid w:val="00E94306"/>
    <w:rsid w:val="00EA3EB9"/>
    <w:rsid w:val="00EA5449"/>
    <w:rsid w:val="00EA76AF"/>
    <w:rsid w:val="00ED0175"/>
    <w:rsid w:val="00ED0603"/>
    <w:rsid w:val="00EF0F25"/>
    <w:rsid w:val="00F03E1C"/>
    <w:rsid w:val="00F05960"/>
    <w:rsid w:val="00F06C31"/>
    <w:rsid w:val="00F16F1B"/>
    <w:rsid w:val="00F1706F"/>
    <w:rsid w:val="00F2022B"/>
    <w:rsid w:val="00F224C5"/>
    <w:rsid w:val="00F224CE"/>
    <w:rsid w:val="00F3190D"/>
    <w:rsid w:val="00F31F52"/>
    <w:rsid w:val="00F40130"/>
    <w:rsid w:val="00F405FD"/>
    <w:rsid w:val="00F615EF"/>
    <w:rsid w:val="00F9694A"/>
    <w:rsid w:val="00FA018F"/>
    <w:rsid w:val="00FB724F"/>
    <w:rsid w:val="00FC0587"/>
    <w:rsid w:val="00FC0BED"/>
    <w:rsid w:val="00FC6CD6"/>
    <w:rsid w:val="00FC7E37"/>
    <w:rsid w:val="00FC7E3F"/>
    <w:rsid w:val="00FE0049"/>
    <w:rsid w:val="00FE01F8"/>
    <w:rsid w:val="00FE070E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  <w:pPr>
      <w:spacing w:line="276" w:lineRule="auto"/>
      <w:ind w:firstLine="43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semiHidden/>
    <w:unhideWhenUsed/>
    <w:rsid w:val="00E7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5F091D"/>
    <w:pPr>
      <w:ind w:firstLine="720"/>
      <w:jc w:val="both"/>
    </w:pPr>
    <w:rPr>
      <w:rFonts w:ascii="Times New Roman" w:hAnsi="Times New Roman"/>
      <w:color w:val="000000"/>
      <w:sz w:val="24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5F091D"/>
    <w:rPr>
      <w:rFonts w:ascii="Times New Roman" w:hAnsi="Times New Roman"/>
      <w:color w:val="000000"/>
      <w:sz w:val="24"/>
      <w:szCs w:val="22"/>
    </w:rPr>
  </w:style>
  <w:style w:type="character" w:customStyle="1" w:styleId="NASLOVChar">
    <w:name w:val="NASLOV Char"/>
    <w:basedOn w:val="TEXTChar"/>
    <w:link w:val="NASLOV"/>
    <w:rsid w:val="00917AAC"/>
    <w:rPr>
      <w:rFonts w:ascii="Times New Roman" w:hAnsi="Times New Roman"/>
      <w:b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  <w:rPr>
      <w:rFonts w:ascii="Times New Roman" w:hAnsi="Times New Roman"/>
      <w:color w:val="000000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94306"/>
    <w:pPr>
      <w:autoSpaceDE w:val="0"/>
      <w:autoSpaceDN w:val="0"/>
      <w:adjustRightInd w:val="0"/>
      <w:spacing w:before="240" w:after="240"/>
      <w:ind w:firstLine="446"/>
      <w:jc w:val="center"/>
    </w:pPr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character" w:customStyle="1" w:styleId="PODChar">
    <w:name w:val="POD Char"/>
    <w:basedOn w:val="DefaultParagraphFont"/>
    <w:link w:val="POD"/>
    <w:rsid w:val="00E94306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854B-9DDE-4BA2-88E1-6EA378DB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1</Template>
  <TotalTime>63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10045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34</cp:revision>
  <cp:lastPrinted>2015-06-16T05:40:00Z</cp:lastPrinted>
  <dcterms:created xsi:type="dcterms:W3CDTF">2017-01-27T08:59:00Z</dcterms:created>
  <dcterms:modified xsi:type="dcterms:W3CDTF">2017-01-27T10:02:00Z</dcterms:modified>
</cp:coreProperties>
</file>