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C" w:rsidRDefault="000A6AEC" w:rsidP="005F091D">
      <w:pPr>
        <w:pStyle w:val="TEXT"/>
        <w:rPr>
          <w:rStyle w:val="SubtleReference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right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Образац 12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Назив јавног предузећа/друштва капитала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Јавно предузеће ЕЛГАС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ИЗВЕШТАЈ О СТЕПЕНУ УСКЛАЂЕНОСТИ ПЛАНИРАНИХ И РЕАЛИЗОВАНИХ АКТИВНОСТИ ИЗ ПРОГРАМА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 период од 01.01.2016.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</w:t>
      </w:r>
      <w:proofErr w:type="gramEnd"/>
      <w:r w:rsidR="00DC285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30. 0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2016.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Место,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 :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Сента, 25.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10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2016.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  <w:sectPr w:rsidR="00D011F7" w:rsidSect="006221C0">
          <w:headerReference w:type="even" r:id="rId9"/>
          <w:headerReference w:type="default" r:id="rId10"/>
          <w:type w:val="continuous"/>
          <w:pgSz w:w="11909" w:h="16834" w:code="9"/>
          <w:pgMar w:top="576" w:right="720" w:bottom="432" w:left="1440" w:header="0" w:footer="576" w:gutter="0"/>
          <w:cols w:space="720"/>
          <w:noEndnote/>
          <w:titlePg/>
          <w:docGrid w:linePitch="299"/>
        </w:sect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 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ОСНОВНИ СТАТУСНИ ПОДАЦИ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Пословно име: Јавно предузеће Елгас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Седиште: Сента,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Миксат</w:t>
      </w: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Калмана 37.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Претежна делатност: дистрибуција гасовитих горива гасоводом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Матични број: 08025886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ПИБ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:101099930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Надлежно министарство: Министарство привреде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Делатности јавног предузећа/друштва капитала су: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(описати делатности за које је јавно предузеће/друштво капитала регистровано)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Претежна делатност: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35.22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 гасов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тих горива гасоводом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 делатности: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система природног гаса на територији насеља Сента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снабдевање природним гасом на територији насеља Сента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топлотне енергије топловодном мрежом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 делатности: израда уличних гасовода, израда унутрашње гасне инсталације, израда и монтажа грађевинске браварије, израда и одржавање водоводних мрежа, водоинсталација, канализационих мрежа и инсталација, топловодне мреже и инсталација, електричних мрежа и инсталација, израда и одржавање јавне расвете, релејне аутоматике, светлосне сигнализације, путне сигнализације, поправка електро уређаја алата, домаћинских апарата.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Годишњи/трогодишњи програм пословања: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(навести датум усвајања програма пословања и број службеног гласника, уколико постоји програм о изменама и допунама годишњег/трогодишњег програма навести датум усвајања и број службеног гласника)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Годишњи програм пословања је усвојен дана 30.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12. 2015.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Закључком Скупштине Општине Сента под бројем 023-8/2015-1 (Службени лист Општине 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Сента </w:t>
      </w:r>
      <w:r w:rsidRPr="00612B1E">
        <w:rPr>
          <w:rFonts w:ascii="Times New Roman" w:hAnsi="Times New Roman"/>
          <w:color w:val="000000" w:themeColor="text1"/>
          <w:sz w:val="24"/>
          <w:szCs w:val="24"/>
        </w:rPr>
        <w:t>бр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30 )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ОБРАЗЛОЖЕЊЕ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Описати пословање (реализацију основне делатности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)у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наведеном периоду.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Предузеће у протеклом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деветомедечном периоду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пословало у врло сложеним условима.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 се тиче дистрибуције топлотне енергије, велика количина губитака у мрежи и даље је присутна са тенденцијом раста.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Топлотну енергију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смо куповали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од 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 ТЕ-ТО Сента по цени од 6.62 дин/kWh и прода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вали смо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по цени од 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,62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дин./kWh- за енергент, и 89,99 дин/m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/год.-фиксни део. Фиксни део обезбеђује месечни приход од 1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,5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милион динара.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lastRenderedPageBreak/>
        <w:t>Послови дистрибуције топлотне енергије поверени су нам Одлуком о изменама одлуке о комуналним делатностима (Сл. лист Општине Сента 13/2013)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За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девет месеци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планирана је набавка: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1.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135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983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15.200.000 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 стране добављача фактурисано је: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</w:r>
      <w:r w:rsidR="00CB10AD" w:rsidRPr="00CB10AD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              1.026.589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12.384.800 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Нашим купцима смо фактурисали: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1.043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719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8.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632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190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kWh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1.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УСПЕХА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биланс успеха по свим билансним позицијама и детаљно образложити струкутру реализованих прихода и расхода и оствареног нето резултата.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 приходи су заначајно мањи у односу на планиране.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 је прављен на бази остварења у претходним годинама.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прв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их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девет месеци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2015.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дистрибуирано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је 11.061.280 kWh топлотне енергије и 87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545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природног гаса.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 расходи нису се смањили сразмерно са пословним приходима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обзиром да је 17.07.2015.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ступила на снагу Уредба о утврђивању Методологије за одређивање цене снабдевања крајњег купца топлотном енергијом и Фабри</w:t>
      </w:r>
      <w:r w:rsidRPr="005A245D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кa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ТЕ-ТО за грејну сезону 2015/2016 више није признала половину губитака у топлотној мрежи, што је био случај у предходне две грејне сезоне.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Код осталих позиција и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ражених у динарима, нема значајних одступања у односу на план.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 има велики губитак у пословању -10,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768,690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првенствено због истоветности набавне и продајне цене топлотне енергије и дотрајалости топловодне мреже, што проузрокује великих губитака топлотне енергије у мрежи.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2.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СТАЊА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биланс стања по свим билансним позицијама.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билансу стања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већа одступања у односу на план су на следећим позицијма: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>-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материјал, резервни делови, алат и ситан инвентар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 други квартал је планирана куповина 200 комада гасних марача, набавка је остварена у првом кварталу</w:t>
      </w:r>
      <w:r w:rsidR="001B2DF1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купљено је 250 ком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(1.212.500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,00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дин.), материјал је на залихи и биће постепено утрошен у будућем периоду (замена мерача којих више не може баждарити), купљен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је и годишњ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потреб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материјал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 w:rsidR="006D7598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за одржавање јавне расвете</w:t>
      </w:r>
      <w:r w:rsidR="006D7598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, непланирано због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х</w:t>
      </w:r>
      <w:r w:rsidR="006D7598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аварије топовод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а у центру града морали смо куповати изолиране цеви у вредности од 1.093.796,00 дин. Радови су завршени у октобру месецу, и излаз материјала ће бити кнјижен у октобру.</w:t>
      </w:r>
    </w:p>
    <w:p w:rsidR="002A4139" w:rsidRPr="006D7598" w:rsidRDefault="002A4139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</w:p>
    <w:p w:rsidR="00D011F7" w:rsidRPr="00612B1E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</w:pPr>
      <w:r w:rsidRPr="00612B1E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 xml:space="preserve">- </w:t>
      </w:r>
      <w:proofErr w:type="gram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потраживања</w:t>
      </w:r>
      <w:proofErr w:type="gram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по основу продаје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 обим пословних прихода у односу на планирани имају директан утицај на ову позицију.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готовински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еквиваленти</w:t>
      </w:r>
    </w:p>
    <w:p w:rsidR="00D011F7" w:rsidRPr="002A4139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Расподела наплаћених потраживања који потичу из продаје топлотне енергије, према споразуму са Ф</w:t>
      </w:r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абрика шећера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ТЕ-ТО врши се на крају сваке недеље,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поред</w:t>
      </w:r>
      <w:r w:rsidR="00FE070E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тога новчана средства су споразумно</w:t>
      </w:r>
      <w:r w:rsidR="00FE070E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задржана за исплаћивање поправке измењивача топлот</w:t>
      </w:r>
      <w:bookmarkStart w:id="0" w:name="_GoBack"/>
      <w:bookmarkEnd w:id="0"/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е (Термомонтаже) као и за финансирање почетка грејне сезоне.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добављачи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земљи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Планирано је било да ће половину губитака топлотне енергије у топловодној мрежи сноси 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 ТЕ-ТО (одобрити), до тога није дошло, зато је дошло до битног повећања обавезе према добављачима, на дан 30.0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Фабри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ци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ТЕ-ТО-у дугујемо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322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900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97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 не рачунајући префактурисани део капацитета.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ТОКОВИМА ГОТОВИНЕ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извештај о токовима готовине по свим позицијама.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-</w:t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обим пословних прихода у односу на планирани, имају директан утицај на прилив и одлив готовине из пословних активности.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4.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 ЗАПОСЛЕНИХ</w:t>
      </w:r>
    </w:p>
    <w:p w:rsidR="00D011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Образложити табелу Трошкови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запослених  по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свим позицијама.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запослених су реализовани у оквиру планираних, осим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помоћ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радницима и породиц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ама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радника (6 смртних случаја чланова уже породице, што није се могло унапред предвидет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5.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ДИНАМИКА ЗАПОСЛЕНИХ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уколико је било прилива и одлива запослених.)</w:t>
      </w:r>
      <w:proofErr w:type="gramEnd"/>
    </w:p>
    <w:p w:rsidR="00D011F7" w:rsidRPr="00847E70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првом полугодишту повратком раднице са порођајног одсуства (фебруар), отишла је радница која је била ангажована на рад у благајни, тако да је крају периода предузеће има укупно 27 радника, 26 стално запослених и 1 особа на одређено време, односно колико је предвиђено Програмом пословања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6.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КРЕТАЊЕ ЦЕНА ПРОИЗВОДА И УСЛУГА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 случају промена цена производа и услуга.)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првом кварталу цене су се кретале у оквиру предвиђен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их цена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Програмом пословања.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sr-Cyrl-RS"/>
        </w:rPr>
      </w:pPr>
    </w:p>
    <w:p w:rsidR="00F224C5" w:rsidRPr="00F224C5" w:rsidRDefault="00F224C5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sr-Cyrl-RS"/>
        </w:rPr>
      </w:pPr>
    </w:p>
    <w:p w:rsidR="006F5741" w:rsidRDefault="006F5741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lastRenderedPageBreak/>
        <w:t xml:space="preserve">7.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СУБВЕНЦИЈЕ И ОСТАЛИ ПРИХОДИ ИЗ БУЏЕТА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пренета средства из буџета, посебно уколико реализована динамика одступа од планиране по програму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 пословања није предвиђено никаква субвенција из буджета.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8.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СРЕДСТВА ЗА ПОСЕБНЕ НАМЕНЕ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Образложити табелу средства за посебне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намене  по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свим позицијама.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За репрезентацију утрошене су половина средстава у односу на планиране, а за рекламу и пропаганду је утрошено 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66 дин, односно 2,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пута више од планираног, првенствено због јавног позивања дужника да измире своје обавезе.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9.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ИНВЕСТИЦИЈАМА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уколико су програмом пословања планиране инвестиције.)</w:t>
      </w:r>
      <w:proofErr w:type="gramEnd"/>
    </w:p>
    <w:p w:rsidR="00D011F7" w:rsidRPr="00F224C5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 пословања за прво полугодиште је бил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предвиђен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куповина 2 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теретн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возила, од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тога  остварен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је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куповина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један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ог возила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куповина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једног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апарата за електрофузион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 заваривање што је и остварено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, а за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Latn-RS"/>
        </w:rPr>
        <w:t xml:space="preserve">III.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квартал планирано је куповине 1 ком аутодизалица, набавка није реализована.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ЗАКЉУЧНА РАЗМАТРАЊА И НАПОМЕНЕ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Навести најважнија запажања о пословању у посматраном периоду и посебно образложити планиране и предузете мере уколико је дошло до поремећаја у пословању јавног предузећа/друштва капитала.)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 је протекли период завршио са губитком од 10,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768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690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динара (за прв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о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полугодиште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655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473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динара.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Рачуни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Фабрик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e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 за топловодну енергију (81.987.376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,00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без ПДВ) су већи него што смо могли фактурисати потрошачима (62.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290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284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без ПДВ).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Пошто је главни узрок губитака у пословању дотрајала топлотна мрежа, заједно са власником мреже, ургентно треба наћи решење за санирање узрока огромних губитака топлотне енергије у мрежи.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будућем периоду треба разрешити и потраживање – који предтавља потенцијални ризик –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 у износу од 17.720.217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,36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без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ПДВ) за префактурисани део трошкова капацитета (гас) из 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(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решавање овога, потписан је Записник између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ТЕ-ТО, Општин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ЈП ЕЛГАС СЕНТА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 наплату потраживања и досада су коришћена сва могућа легална средства (опомена, судски спорови, судски извршитељи, искључења потрошача гаса), додатним напорима треба постићи да наплаћеност наших потраживања буде што боља.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 дан 30.0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потрошачи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гаса дугују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6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059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887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5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8 дин., а корисници топлотне енергије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27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368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.41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 25.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.2016.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                                                                                      __________________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Потпис и печат</w:t>
      </w:r>
    </w:p>
    <w:sectPr w:rsidR="00D011F7" w:rsidSect="00D011F7">
      <w:pgSz w:w="11909" w:h="16834" w:code="9"/>
      <w:pgMar w:top="576" w:right="720" w:bottom="432" w:left="1440" w:header="0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2D" w:rsidRDefault="00090B2D" w:rsidP="00E7013F">
      <w:pPr>
        <w:spacing w:line="240" w:lineRule="auto"/>
      </w:pPr>
      <w:r>
        <w:separator/>
      </w:r>
    </w:p>
  </w:endnote>
  <w:endnote w:type="continuationSeparator" w:id="0">
    <w:p w:rsidR="00090B2D" w:rsidRDefault="00090B2D" w:rsidP="00E7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2D" w:rsidRDefault="00090B2D" w:rsidP="00E7013F">
      <w:pPr>
        <w:spacing w:line="240" w:lineRule="auto"/>
      </w:pPr>
      <w:r>
        <w:separator/>
      </w:r>
    </w:p>
  </w:footnote>
  <w:footnote w:type="continuationSeparator" w:id="0">
    <w:p w:rsidR="00090B2D" w:rsidRDefault="00090B2D" w:rsidP="00E70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46" w:rsidRDefault="00090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2062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rPr>
        <w:noProof/>
      </w:rPr>
      <w:pict>
        <v:shape id="PowerPlusWaterMarkObject29020492" o:spid="_x0000_s2053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rPr>
        <w:noProof/>
      </w:rPr>
      <w:pict>
        <v:shape id="PowerPlusWaterMarkObject5574150" o:spid="_x0000_s2050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21" w:rsidRDefault="00090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2063" type="#_x0000_t136" style="position:absolute;left:0;text-align:left;margin-left:0;margin-top:0;width:411.75pt;height:143.2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70"/>
    <w:rsid w:val="00010475"/>
    <w:rsid w:val="00023848"/>
    <w:rsid w:val="000258AF"/>
    <w:rsid w:val="000319C9"/>
    <w:rsid w:val="00033B1D"/>
    <w:rsid w:val="00036FC3"/>
    <w:rsid w:val="000402E8"/>
    <w:rsid w:val="000447C2"/>
    <w:rsid w:val="00044879"/>
    <w:rsid w:val="000465EB"/>
    <w:rsid w:val="00055F76"/>
    <w:rsid w:val="000579FF"/>
    <w:rsid w:val="00060552"/>
    <w:rsid w:val="00060F70"/>
    <w:rsid w:val="00061662"/>
    <w:rsid w:val="00062A52"/>
    <w:rsid w:val="000647AF"/>
    <w:rsid w:val="00084621"/>
    <w:rsid w:val="00090B2D"/>
    <w:rsid w:val="00092981"/>
    <w:rsid w:val="000A6AEC"/>
    <w:rsid w:val="000B5C75"/>
    <w:rsid w:val="000B5E0F"/>
    <w:rsid w:val="000F0223"/>
    <w:rsid w:val="000F3456"/>
    <w:rsid w:val="00101BDB"/>
    <w:rsid w:val="00106E30"/>
    <w:rsid w:val="00117BAB"/>
    <w:rsid w:val="00117E6E"/>
    <w:rsid w:val="00125E40"/>
    <w:rsid w:val="00137C45"/>
    <w:rsid w:val="00144D0D"/>
    <w:rsid w:val="00155387"/>
    <w:rsid w:val="00170D22"/>
    <w:rsid w:val="00180413"/>
    <w:rsid w:val="00186B41"/>
    <w:rsid w:val="001970E3"/>
    <w:rsid w:val="001A7935"/>
    <w:rsid w:val="001B14F0"/>
    <w:rsid w:val="001B2DF1"/>
    <w:rsid w:val="001B7002"/>
    <w:rsid w:val="001D5F85"/>
    <w:rsid w:val="001E04A8"/>
    <w:rsid w:val="001E068C"/>
    <w:rsid w:val="001E439B"/>
    <w:rsid w:val="001E46D7"/>
    <w:rsid w:val="001E683D"/>
    <w:rsid w:val="00200C26"/>
    <w:rsid w:val="00202655"/>
    <w:rsid w:val="00202950"/>
    <w:rsid w:val="00204790"/>
    <w:rsid w:val="00204ADA"/>
    <w:rsid w:val="00205212"/>
    <w:rsid w:val="00210A65"/>
    <w:rsid w:val="002141F6"/>
    <w:rsid w:val="0022647C"/>
    <w:rsid w:val="00237FF2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9553E"/>
    <w:rsid w:val="0029691B"/>
    <w:rsid w:val="002A05F9"/>
    <w:rsid w:val="002A3673"/>
    <w:rsid w:val="002A4139"/>
    <w:rsid w:val="002B1B69"/>
    <w:rsid w:val="002C46AE"/>
    <w:rsid w:val="002C6498"/>
    <w:rsid w:val="002C71D1"/>
    <w:rsid w:val="002E5430"/>
    <w:rsid w:val="002F64DE"/>
    <w:rsid w:val="002F7395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B46FC"/>
    <w:rsid w:val="003E5B42"/>
    <w:rsid w:val="003E5CE2"/>
    <w:rsid w:val="004078C5"/>
    <w:rsid w:val="0041748A"/>
    <w:rsid w:val="00420304"/>
    <w:rsid w:val="0042799D"/>
    <w:rsid w:val="00432616"/>
    <w:rsid w:val="00433E24"/>
    <w:rsid w:val="00442D98"/>
    <w:rsid w:val="00445BC1"/>
    <w:rsid w:val="00450369"/>
    <w:rsid w:val="00452C64"/>
    <w:rsid w:val="00452F8D"/>
    <w:rsid w:val="00467D75"/>
    <w:rsid w:val="00482650"/>
    <w:rsid w:val="00483EE8"/>
    <w:rsid w:val="00494CC2"/>
    <w:rsid w:val="004A0729"/>
    <w:rsid w:val="004A60DB"/>
    <w:rsid w:val="004B1183"/>
    <w:rsid w:val="004B7246"/>
    <w:rsid w:val="004C459D"/>
    <w:rsid w:val="004D596F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245D"/>
    <w:rsid w:val="005A3689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2B1E"/>
    <w:rsid w:val="006154B2"/>
    <w:rsid w:val="00616B41"/>
    <w:rsid w:val="006221C0"/>
    <w:rsid w:val="006276D7"/>
    <w:rsid w:val="00630F0F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D51CF"/>
    <w:rsid w:val="006D7598"/>
    <w:rsid w:val="006E39AB"/>
    <w:rsid w:val="006F5741"/>
    <w:rsid w:val="00703091"/>
    <w:rsid w:val="00715B8D"/>
    <w:rsid w:val="00725B37"/>
    <w:rsid w:val="00734F59"/>
    <w:rsid w:val="007567EF"/>
    <w:rsid w:val="0077057A"/>
    <w:rsid w:val="007771EF"/>
    <w:rsid w:val="00784755"/>
    <w:rsid w:val="0078714E"/>
    <w:rsid w:val="00792231"/>
    <w:rsid w:val="00797242"/>
    <w:rsid w:val="007E2B5C"/>
    <w:rsid w:val="007E37EE"/>
    <w:rsid w:val="007F1F88"/>
    <w:rsid w:val="007F2806"/>
    <w:rsid w:val="007F3A61"/>
    <w:rsid w:val="007F5222"/>
    <w:rsid w:val="007F7BC9"/>
    <w:rsid w:val="0081126B"/>
    <w:rsid w:val="00811E00"/>
    <w:rsid w:val="00816882"/>
    <w:rsid w:val="008316DF"/>
    <w:rsid w:val="00840CCB"/>
    <w:rsid w:val="00847E70"/>
    <w:rsid w:val="0085298F"/>
    <w:rsid w:val="008550FA"/>
    <w:rsid w:val="008613D1"/>
    <w:rsid w:val="0086438F"/>
    <w:rsid w:val="00873214"/>
    <w:rsid w:val="008A1878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4276"/>
    <w:rsid w:val="0094078E"/>
    <w:rsid w:val="00953056"/>
    <w:rsid w:val="00976419"/>
    <w:rsid w:val="00977F1A"/>
    <w:rsid w:val="00981C6A"/>
    <w:rsid w:val="009848C9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34517"/>
    <w:rsid w:val="00A40B81"/>
    <w:rsid w:val="00A47FE3"/>
    <w:rsid w:val="00AA7338"/>
    <w:rsid w:val="00AC1058"/>
    <w:rsid w:val="00AC2CDB"/>
    <w:rsid w:val="00AC6697"/>
    <w:rsid w:val="00AC690F"/>
    <w:rsid w:val="00AC703D"/>
    <w:rsid w:val="00AE5496"/>
    <w:rsid w:val="00AF131E"/>
    <w:rsid w:val="00B10113"/>
    <w:rsid w:val="00B1176E"/>
    <w:rsid w:val="00B13C6F"/>
    <w:rsid w:val="00B37B85"/>
    <w:rsid w:val="00B41D46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10AD"/>
    <w:rsid w:val="00CB5236"/>
    <w:rsid w:val="00CC5587"/>
    <w:rsid w:val="00CC71A2"/>
    <w:rsid w:val="00CD3EBF"/>
    <w:rsid w:val="00CD4A98"/>
    <w:rsid w:val="00CE1F9A"/>
    <w:rsid w:val="00D011F7"/>
    <w:rsid w:val="00D04799"/>
    <w:rsid w:val="00D07552"/>
    <w:rsid w:val="00D108B2"/>
    <w:rsid w:val="00D11B85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C285A"/>
    <w:rsid w:val="00DD021A"/>
    <w:rsid w:val="00DE2F1F"/>
    <w:rsid w:val="00DF03C8"/>
    <w:rsid w:val="00DF061F"/>
    <w:rsid w:val="00DF682B"/>
    <w:rsid w:val="00E0131E"/>
    <w:rsid w:val="00E072D2"/>
    <w:rsid w:val="00E212EE"/>
    <w:rsid w:val="00E36A52"/>
    <w:rsid w:val="00E62AF0"/>
    <w:rsid w:val="00E63FE9"/>
    <w:rsid w:val="00E7013F"/>
    <w:rsid w:val="00E72F5A"/>
    <w:rsid w:val="00E8686B"/>
    <w:rsid w:val="00E92489"/>
    <w:rsid w:val="00E94306"/>
    <w:rsid w:val="00EA3EB9"/>
    <w:rsid w:val="00EA5449"/>
    <w:rsid w:val="00EA76AF"/>
    <w:rsid w:val="00ED0175"/>
    <w:rsid w:val="00ED0603"/>
    <w:rsid w:val="00EF0F25"/>
    <w:rsid w:val="00F03E1C"/>
    <w:rsid w:val="00F05960"/>
    <w:rsid w:val="00F06C31"/>
    <w:rsid w:val="00F16F1B"/>
    <w:rsid w:val="00F1706F"/>
    <w:rsid w:val="00F224C5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  <w:rsid w:val="00FE070E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AppData\Roaming\Microsoft\Templates\OBRAZA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6702-6561-4F14-9335-6DFF8CD8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1</Template>
  <TotalTime>124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9265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5</cp:revision>
  <cp:lastPrinted>2015-06-16T05:40:00Z</cp:lastPrinted>
  <dcterms:created xsi:type="dcterms:W3CDTF">2016-10-25T05:31:00Z</dcterms:created>
  <dcterms:modified xsi:type="dcterms:W3CDTF">2016-10-25T07:34:00Z</dcterms:modified>
</cp:coreProperties>
</file>